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84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100" w:lineRule="atLeast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   </w:t>
            </w:r>
          </w:p>
          <w:p>
            <w:pPr>
              <w:pStyle w:val="Normálny"/>
              <w:bidi w:val="0"/>
              <w:spacing w:after="0" w:line="100" w:lineRule="atLeast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On n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est bien que chez soi</w:t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100" w:lineRule="atLeast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V tejto lekcii sa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obozn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mia s 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ô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znymi typmi domov a bytov a spoznaj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ú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zvy jednotliv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miestnost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.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Ď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 cie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om lekcie je 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sa jednoducho op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dom alebo izbu a pri opise spr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vne pou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ží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zhodu pr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davn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ho a podstatn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ho mena.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fonctionnels : </w:t>
        <w:tab/>
        <w:tab/>
        <w:t>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le logement</w:t>
      </w:r>
    </w:p>
    <w:p>
      <w:pPr>
        <w:pStyle w:val="Normálny"/>
        <w:ind w:left="3540" w:hanging="354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lexicaux : </w:t>
        <w:tab/>
        <w:t>conna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î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tre le lexique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logements, chambres; employer des adjectifs qualificatifs pour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le logement</w:t>
      </w:r>
    </w:p>
    <w:p>
      <w:pPr>
        <w:pStyle w:val="Normálny"/>
        <w:ind w:left="3540" w:hanging="354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grammaticaux : </w:t>
        <w:tab/>
        <w:t xml:space="preserve">conjuguer le verbe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vivre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au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indicatif, employer correctement  les adjectifs qualificatifs (accord en genre et en nombre)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riaux :</w:t>
        <w:tab/>
        <w:tab/>
        <w:tab/>
        <w:tab/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riel projetable 8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thodes: </w:t>
        <w:tab/>
        <w:tab/>
        <w:tab/>
        <w:tab/>
        <w:t>active, heuristique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Formes de travail: </w:t>
        <w:tab/>
        <w:tab/>
        <w:tab/>
        <w:t>collectives, individuelles, en groupes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  <w:tab/>
        <w:tab/>
        <w:tab/>
        <w:tab/>
        <w:t>45 minutes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Ramassez les devoirs faits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maison.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ù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ils habitent en leur montrant la premi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 diapositive de la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sentation power pont (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riel projetable 8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). 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Par exemple : - 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ù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habitez-vous ?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- J'habite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Prague.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- Vivez-vous dans une maison ou dans un appartement?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Expliquez les objectifs du cours.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Analysez les types des logements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aide des diapositives suivantes de la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sentation.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Demandez aux apprenants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45. 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1, page 45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se mettre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 et de lire les textes et de les faire correspondre aux photos.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 : 1b; 2d; 3e; 4a; 5c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2, page 45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se mettre en groupe de 5 personnes. En groupes,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demandent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leurs camarades de classe dans quelle maison / appartement ils habitent. Ils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crivent ensuite les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sultats au tableau  en analysant le type de logement le plus courant pour leur classe.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Analysez le tableau marron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«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pour d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crire la maison et les pi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ces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»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.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Avec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ves, traduisez le vocabulaire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 slovaque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3, page 45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lisent les phrases et essaient de traduire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 slovaque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Aidez-les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 faire. Ensuite, ils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comment Jean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crit sa maison et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cident si les phrases sont vraies ou fausses.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 : a F; b V; c F; d F; e F; f V; g F; h V; i F; j F; k V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4, page 46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crivent individuellement leur domicile dans leur cahier en utilisant le nouveau vocabulaire.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LA MAISON</w:t>
      </w:r>
    </w:p>
    <w:p>
      <w:pPr>
        <w:pStyle w:val="Normálny"/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Cahier d'exercices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 Ex. 1-2/119, ex. 5/120.</w:t>
      </w:r>
      <w:r/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 26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5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 1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